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2488EDE9" w14:textId="77777777" w:rsidR="00C14315" w:rsidRDefault="00C14315">
      <w:pPr>
        <w:widowControl/>
        <w:shd w:color="auto" w:fill="FFFFFF" w:val="clear"/>
        <w:rPr>
          <w:rFonts w:ascii="宋体" w:cs="宋体" w:eastAsia="宋体" w:hAnsi="宋体"/>
          <w:b/>
          <w:bCs/>
          <w:color w:val="333333"/>
          <w:kern w:val="0"/>
          <w:sz w:val="24"/>
          <w:szCs w:val="24"/>
        </w:rPr>
      </w:pPr>
    </w:p>
    <w:p w14:paraId="341BB83F" w14:textId="77777777" w:rsidR="00C14315" w:rsidRDefault="00F44765">
      <w:pPr>
        <w:widowControl/>
        <w:shd w:color="auto" w:fill="FFFFFF" w:val="clear"/>
        <w:jc w:val="center"/>
        <w:rPr>
          <w:rFonts w:ascii="宋体" w:cs="宋体" w:eastAsia="宋体" w:hAnsi="宋体"/>
          <w:color w:val="333333"/>
          <w:kern w:val="0"/>
          <w:sz w:val="24"/>
          <w:szCs w:val="24"/>
        </w:rPr>
      </w:pPr>
      <w:r>
        <w:rPr>
          <w:rFonts w:ascii="宋体" w:cs="宋体" w:eastAsia="宋体" w:hAnsi="宋体"/>
          <w:b/>
          <w:bCs/>
          <w:color w:val="333333"/>
          <w:kern w:val="0"/>
          <w:sz w:val="36"/>
          <w:szCs w:val="36"/>
        </w:rPr>
        <w:t>三门峡市审计局2025年政府信息公开工作年度报告</w:t>
      </w:r>
    </w:p>
    <w:p w14:paraId="26780FFF" w14:textId="77777777" w:rsidR="00C14315" w:rsidRDefault="00C14315">
      <w:pPr>
        <w:widowControl/>
        <w:shd w:color="auto" w:fill="FFFFFF" w:val="clear"/>
        <w:ind w:firstLine="480"/>
        <w:rPr>
          <w:rFonts w:ascii="宋体" w:cs="宋体" w:eastAsia="宋体" w:hAnsi="宋体"/>
          <w:color w:val="333333"/>
          <w:kern w:val="0"/>
          <w:sz w:val="24"/>
          <w:szCs w:val="24"/>
        </w:rPr>
      </w:pPr>
    </w:p>
    <w:p w14:paraId="670A6B92" w14:textId="77777777" w:rsidR="00C14315" w:rsidRDefault="00F44765">
      <w:pPr>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一、总体情况</w:t>
      </w:r>
    </w:p>
    <w:p>
      <w:pPr>
        <w:widowControl/>
        <w:shd w:color="auto" w:fill="FFFFFF" w:val="clear"/>
        <w:ind w:firstLine="480"/>
        <w:rPr>
          <w:rFonts w:ascii="宋体" w:cs="宋体" w:eastAsia="宋体" w:hAnsi="宋体"/>
          <w:color w:val="333333"/>
          <w:kern w:val="0"/>
          <w:sz w:val="24"/>
          <w:szCs w:val="24"/>
        </w:rPr>
      </w:pPr>
      <w:r>
        <w:t>一、总体情况</w:t>
      </w:r>
    </w:p>
    <w:p>
      <w:pPr>
        <w:widowControl/>
        <w:shd w:color="auto" w:fill="FFFFFF" w:val="clear"/>
        <w:ind w:firstLine="480"/>
        <w:rPr>
          <w:rFonts w:ascii="宋体" w:cs="宋体" w:eastAsia="宋体" w:hAnsi="宋体"/>
          <w:color w:val="333333"/>
          <w:kern w:val="0"/>
          <w:sz w:val="24"/>
          <w:szCs w:val="24"/>
        </w:rPr>
      </w:pPr>
      <w:r>
        <w:t>2025年，三门峡市审计局以习近平新时代中国特色社会主义思想为根本遵循，全面对标中央、省、市关于政务公开工作的最新部署要求，锚定“规范、透明、高效”工作目标，深度融合政务公开与审计主责主业，狠抓信息发布的时效性、精准性与全面性，做实做细主动公开各项举措，全力打造阳光透明的审计机关形象，推动全局政务公开工作迈上新台阶。</w:t>
      </w:r>
    </w:p>
    <w:p>
      <w:pPr>
        <w:widowControl/>
        <w:shd w:color="auto" w:fill="FFFFFF" w:val="clear"/>
        <w:ind w:firstLine="480"/>
        <w:rPr>
          <w:rFonts w:ascii="宋体" w:cs="宋体" w:eastAsia="宋体" w:hAnsi="宋体"/>
          <w:color w:val="333333"/>
          <w:kern w:val="0"/>
          <w:sz w:val="24"/>
          <w:szCs w:val="24"/>
        </w:rPr>
      </w:pPr>
      <w:r>
        <w:t>（一）主动公开扩面提效</w:t>
      </w:r>
    </w:p>
    <w:p>
      <w:pPr>
        <w:widowControl/>
        <w:shd w:color="auto" w:fill="FFFFFF" w:val="clear"/>
        <w:ind w:firstLine="480"/>
        <w:rPr>
          <w:rFonts w:ascii="宋体" w:cs="宋体" w:eastAsia="宋体" w:hAnsi="宋体"/>
          <w:color w:val="333333"/>
          <w:kern w:val="0"/>
          <w:sz w:val="24"/>
          <w:szCs w:val="24"/>
        </w:rPr>
      </w:pPr>
      <w:r>
        <w:t>立足审计职能定位，细化政务公开责任清单，清晰划定公开范围与内容边界，确保法定公开事项全覆盖、无遗漏。构建“网站+公众号+上级平台”多维发布矩阵，分类推送审计动态、政策解读、审计风采等各类信息，实现权威信息精准触达。2025年，全局累计主动公开信息727余条，其中通过部门官网发布406余条，官方微信公众号发布259余条，同步向审计署网站、省审计厅网站报送并发布信息 62余条，有效拓宽了审计工作的社会知晓度。</w:t>
      </w:r>
    </w:p>
    <w:p>
      <w:pPr>
        <w:widowControl/>
        <w:shd w:color="auto" w:fill="FFFFFF" w:val="clear"/>
        <w:ind w:firstLine="480"/>
        <w:rPr>
          <w:rFonts w:ascii="宋体" w:cs="宋体" w:eastAsia="宋体" w:hAnsi="宋体"/>
          <w:color w:val="333333"/>
          <w:kern w:val="0"/>
          <w:sz w:val="24"/>
          <w:szCs w:val="24"/>
        </w:rPr>
      </w:pPr>
      <w:r>
        <w:t>（二）依申请公开规范有序</w:t>
      </w:r>
    </w:p>
    <w:p>
      <w:pPr>
        <w:widowControl/>
        <w:shd w:color="auto" w:fill="FFFFFF" w:val="clear"/>
        <w:ind w:firstLine="480"/>
        <w:rPr>
          <w:rFonts w:ascii="宋体" w:cs="宋体" w:eastAsia="宋体" w:hAnsi="宋体"/>
          <w:color w:val="333333"/>
          <w:kern w:val="0"/>
          <w:sz w:val="24"/>
          <w:szCs w:val="24"/>
        </w:rPr>
      </w:pPr>
      <w:r>
        <w:t>严格执行《中华人民共和国政府信息公开条例》，健全“专人受理、专班研判、限时办结”工作机制，优化从申请接收、内容审核到答复反馈的全流程闭环管理。2025年，共受理依申请公开事项0件，未发生超期回复问题，全年无行政复议、行政诉讼案件产生，切实保障了公众的合法信息权益。</w:t>
      </w:r>
    </w:p>
    <w:p>
      <w:pPr>
        <w:widowControl/>
        <w:shd w:color="auto" w:fill="FFFFFF" w:val="clear"/>
        <w:ind w:firstLine="480"/>
        <w:rPr>
          <w:rFonts w:ascii="宋体" w:cs="宋体" w:eastAsia="宋体" w:hAnsi="宋体"/>
          <w:color w:val="333333"/>
          <w:kern w:val="0"/>
          <w:sz w:val="24"/>
          <w:szCs w:val="24"/>
        </w:rPr>
      </w:pPr>
      <w:r>
        <w:t>（三）政府信息管理严格审慎</w:t>
      </w:r>
    </w:p>
    <w:p>
      <w:pPr>
        <w:widowControl/>
        <w:shd w:color="auto" w:fill="FFFFFF" w:val="clear"/>
        <w:ind w:firstLine="480"/>
        <w:rPr>
          <w:rFonts w:ascii="宋体" w:cs="宋体" w:eastAsia="宋体" w:hAnsi="宋体"/>
          <w:color w:val="333333"/>
          <w:kern w:val="0"/>
          <w:sz w:val="24"/>
          <w:szCs w:val="24"/>
        </w:rPr>
      </w:pPr>
      <w:r>
        <w:t>持续深化“三审三校”信息发布审核机制，严守保密审查关口，严格落实“谁制定、谁审查、谁公开、谁负责”原则，对拟公开信息进行全方位合规性审核，重点防范国家秘密、工作秘密及个人隐私泄露风险。常态化开展已公开信息“回头看”，及时清理更新失效信息，确保公开内容真实准确、规范严谨，从源头上筑牢信息发布质量防线。</w:t>
      </w:r>
    </w:p>
    <w:p>
      <w:pPr>
        <w:widowControl/>
        <w:shd w:color="auto" w:fill="FFFFFF" w:val="clear"/>
        <w:ind w:firstLine="480"/>
        <w:rPr>
          <w:rFonts w:ascii="宋体" w:cs="宋体" w:eastAsia="宋体" w:hAnsi="宋体"/>
          <w:color w:val="333333"/>
          <w:kern w:val="0"/>
          <w:sz w:val="24"/>
          <w:szCs w:val="24"/>
        </w:rPr>
      </w:pPr>
      <w:r>
        <w:t>（四）公开平台建设深化升级</w:t>
      </w:r>
    </w:p>
    <w:p>
      <w:pPr>
        <w:widowControl/>
        <w:shd w:color="auto" w:fill="FFFFFF" w:val="clear"/>
        <w:ind w:firstLine="480"/>
        <w:rPr>
          <w:rFonts w:ascii="宋体" w:cs="宋体" w:eastAsia="宋体" w:hAnsi="宋体"/>
          <w:color w:val="333333"/>
          <w:kern w:val="0"/>
          <w:sz w:val="24"/>
          <w:szCs w:val="24"/>
        </w:rPr>
      </w:pPr>
      <w:r>
        <w:t>聚焦平台功能优化，对部门官网政务公开栏目进行改版升级，理顺栏目分类逻辑，提升信息检索便捷度；强化官方微信公众号运营管理，围绕审计重点工作策划专题推送，增强内容可读性与传播力。同时，严格落实信息发布主体责任，专人专岗负责平台日常运维，及时转载党中央、国务院重大决策部署，常态化发布审计工作进展，打造权威、高效的政务公开信息枢纽。</w:t>
      </w:r>
    </w:p>
    <w:p>
      <w:pPr>
        <w:widowControl/>
        <w:shd w:color="auto" w:fill="FFFFFF" w:val="clear"/>
        <w:ind w:firstLine="480"/>
        <w:rPr>
          <w:rFonts w:ascii="宋体" w:cs="宋体" w:eastAsia="宋体" w:hAnsi="宋体"/>
          <w:color w:val="333333"/>
          <w:kern w:val="0"/>
          <w:sz w:val="24"/>
          <w:szCs w:val="24"/>
        </w:rPr>
      </w:pPr>
      <w:r>
        <w:t>（五）监督保障机制持续夯实</w:t>
      </w:r>
    </w:p>
    <w:p>
      <w:pPr>
        <w:widowControl/>
        <w:shd w:color="auto" w:fill="FFFFFF" w:val="clear"/>
        <w:ind w:firstLine="480"/>
        <w:rPr>
          <w:rFonts w:ascii="宋体" w:cs="宋体" w:eastAsia="宋体" w:hAnsi="宋体"/>
          <w:color w:val="333333"/>
          <w:kern w:val="0"/>
          <w:sz w:val="24"/>
          <w:szCs w:val="24"/>
        </w:rPr>
      </w:pPr>
      <w:r>
        <w:t>调整充实政务公开工作领导小组，明确主要领导负总责、分管领导直接负责、各科室协同配合的工作责任体系。定期召开专题工作会议，研判工作推进中的堵点难点，动态调整工作举措；将政务公开工作纳入年度绩效考核，细化考核指标与评分标准，以刚性考核倒逼责任落实，确保各项工作部署落地见效。</w:t>
      </w:r>
    </w:p>
    <w:p w14:paraId="106EE68B" w14:textId="77777777" w:rsidR="00C14315" w:rsidRDefault="00C14315">
      <w:pPr>
        <w:widowControl/>
        <w:shd w:color="auto" w:fill="FFFFFF" w:val="clear"/>
        <w:ind w:firstLine="480"/>
        <w:rPr>
          <w:rFonts w:ascii="宋体" w:cs="宋体" w:eastAsia="宋体" w:hAnsi="宋体"/>
          <w:color w:val="333333"/>
          <w:kern w:val="0"/>
          <w:sz w:val="24"/>
          <w:szCs w:val="24"/>
        </w:rPr>
      </w:pPr>
    </w:p>
    <w:p w14:paraId="098F2C4E" w14:textId="77777777" w:rsidR="00C14315" w:rsidRDefault="00F44765">
      <w:pPr>
        <w:pageBreakBefore w:val="on"/>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二、主动公开政府信息情况</w:t>
      </w:r>
    </w:p>
    <w:p w14:paraId="54A35C97"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0"/>
        <w:jc w:val="center"/>
        <w:tblLayout w:type="fixed"/>
        <w:tblCellMar>
          <w:left w:type="dxa" w:w="57"/>
          <w:right w:type="dxa" w:w="57"/>
        </w:tblCellMar>
        <w:tblLook w:firstColumn="1" w:firstRow="1" w:lastColumn="0" w:lastRow="0" w:noHBand="0" w:noVBand="1" w:val="04A0"/>
      </w:tblPr>
      <w:tblGrid>
        <w:gridCol w:w="2436"/>
        <w:gridCol w:w="2435"/>
        <w:gridCol w:w="2435"/>
        <w:gridCol w:w="2434"/>
      </w:tblGrid>
      <w:tr w14:paraId="6E338DE3" w14:textId="77777777" w:rsidR="00C14315">
        <w:trPr>
          <w:trHeight w:val="340"/>
          <w:jc w:val="center"/>
        </w:trPr>
        <w:tc>
          <w:tcPr>
            <w:tcW w:type="dxa" w:w="9739"/>
            <w:gridSpan w:val="4"/>
            <w:tcBorders>
              <w:top w:color="000000" w:space="0" w:sz="8" w:val="single"/>
              <w:left w:color="000000" w:space="0" w:sz="8" w:val="single"/>
              <w:bottom w:color="000000" w:space="0" w:sz="8" w:val="single"/>
              <w:right w:color="000000" w:space="0" w:sz="8" w:val="single"/>
            </w:tcBorders>
            <w:shd w:color="auto" w:fill="C6D9F1" w:val="clear"/>
            <w:vAlign w:val="center"/>
          </w:tcPr>
          <w:p w14:paraId="1A23E5CC"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第二十条第（一）项</w:t>
            </w:r>
          </w:p>
        </w:tc>
      </w:tr>
      <w:tr w14:paraId="55927E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4AD721F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2435"/>
            <w:tcBorders>
              <w:top w:color="000000" w:space="0" w:sz="8" w:val="single"/>
              <w:bottom w:color="000000" w:space="0" w:sz="8" w:val="single"/>
              <w:right w:color="000000" w:space="0" w:sz="8" w:val="single"/>
            </w:tcBorders>
            <w:vAlign w:val="center"/>
          </w:tcPr>
          <w:p w14:paraId="3A3E0AB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w:t>
            </w:r>
            <w:r>
              <w:rPr>
                <w:rFonts w:ascii="宋体" w:cs="Calibri" w:hAnsi="宋体"/>
                <w:kern w:val="0"/>
                <w:sz w:val="20"/>
                <w:szCs w:val="20"/>
              </w:rPr>
              <w:t>制</w:t>
            </w:r>
            <w:r>
              <w:rPr>
                <w:rFonts w:ascii="宋体" w:cs="宋体" w:hAnsi="宋体"/>
                <w:kern w:val="0"/>
                <w:sz w:val="20"/>
                <w:szCs w:val="20"/>
              </w:rPr>
              <w:t>发件</w:t>
            </w:r>
            <w:r>
              <w:rPr>
                <w:rFonts w:ascii="宋体" w:cs="Calibri" w:hAnsi="宋体"/>
                <w:kern w:val="0"/>
                <w:sz w:val="20"/>
                <w:szCs w:val="20"/>
              </w:rPr>
              <w:t>数</w:t>
            </w:r>
          </w:p>
        </w:tc>
        <w:tc>
          <w:tcPr>
            <w:tcW w:type="dxa" w:w="2435"/>
            <w:tcBorders>
              <w:top w:color="000000" w:space="0" w:sz="8" w:val="single"/>
              <w:bottom w:color="000000" w:space="0" w:sz="8" w:val="single"/>
              <w:right w:color="000000" w:space="0" w:sz="8" w:val="single"/>
            </w:tcBorders>
            <w:vAlign w:val="center"/>
          </w:tcPr>
          <w:p w14:paraId="792E0B75"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本年废止件数</w:t>
            </w:r>
          </w:p>
        </w:tc>
        <w:tc>
          <w:tcPr>
            <w:tcW w:type="dxa" w:w="2434"/>
            <w:tcBorders>
              <w:top w:color="000000" w:space="0" w:sz="8" w:val="single"/>
              <w:bottom w:color="000000" w:space="0" w:sz="8" w:val="single"/>
              <w:right w:color="000000" w:space="0" w:sz="8" w:val="single"/>
            </w:tcBorders>
            <w:vAlign w:val="center"/>
          </w:tcPr>
          <w:p w14:paraId="767A86CE"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现行有效件</w:t>
            </w:r>
            <w:r>
              <w:rPr>
                <w:rFonts w:ascii="宋体" w:cs="Calibri" w:hAnsi="宋体"/>
                <w:kern w:val="0"/>
                <w:sz w:val="20"/>
                <w:szCs w:val="20"/>
              </w:rPr>
              <w:t>数</w:t>
            </w:r>
          </w:p>
        </w:tc>
      </w:tr>
      <w:tr w14:paraId="6FB424FE"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FFAA43E"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规章</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7C14B947"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CFC1C88"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行政规范性文件</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31E74237"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4214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第二十条第（五）项</w:t>
            </w:r>
          </w:p>
        </w:tc>
      </w:tr>
      <w:tr w14:paraId="42A51CFB"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FE3FA5F"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808BF7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7A4ADEB3"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5355953C"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行政许可</w:t>
            </w:r>
          </w:p>
        </w:tc>
        <w:tc>
          <w:tcPr>
            <w:tcW w:type="dxa" w:w="7304"/>
            <w:gridSpan w:val="3"/>
            <w:tcBorders>
              <w:bottom w:color="000000" w:space="0" w:sz="8" w:val="single"/>
              <w:right w:color="000000" w:space="0" w:sz="8" w:val="single"/>
            </w:tcBorders>
            <w:vAlign w:val="center"/>
          </w:tcPr>
          <w:p>
            <w:r>
              <w:t>0</w:t>
            </w:r>
          </w:p>
        </w:tc>
      </w:tr>
      <w:tr w14:paraId="4DFB04B3"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54E75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第二十条第（六）项</w:t>
            </w:r>
          </w:p>
        </w:tc>
      </w:tr>
      <w:tr w14:paraId="23011D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31F032C7"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top w:color="000000" w:space="0" w:sz="8" w:val="single"/>
              <w:bottom w:color="000000" w:space="0" w:sz="8" w:val="single"/>
              <w:right w:color="000000" w:space="0" w:sz="8" w:val="single"/>
            </w:tcBorders>
            <w:vAlign w:val="center"/>
          </w:tcPr>
          <w:p w14:paraId="66D8B7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3D29E151"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CC43065"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行政处罚</w:t>
            </w:r>
          </w:p>
        </w:tc>
        <w:tc>
          <w:tcPr>
            <w:tcW w:type="dxa" w:w="7304"/>
            <w:gridSpan w:val="3"/>
            <w:tcBorders>
              <w:bottom w:color="000000" w:space="0" w:sz="8" w:val="single"/>
              <w:right w:color="000000" w:space="0" w:sz="8" w:val="single"/>
            </w:tcBorders>
            <w:vAlign w:val="center"/>
          </w:tcPr>
          <w:p>
            <w:r>
              <w:t>0</w:t>
            </w:r>
          </w:p>
        </w:tc>
      </w:tr>
      <w:tr w14:paraId="064BEA2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AB5C296"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行政强制</w:t>
            </w:r>
          </w:p>
        </w:tc>
        <w:tc>
          <w:tcPr>
            <w:tcW w:type="dxa" w:w="7304"/>
            <w:gridSpan w:val="3"/>
            <w:tcBorders>
              <w:bottom w:color="000000" w:space="0" w:sz="8" w:val="single"/>
              <w:right w:color="000000" w:space="0" w:sz="8" w:val="single"/>
            </w:tcBorders>
            <w:vAlign w:val="center"/>
          </w:tcPr>
          <w:p>
            <w:r>
              <w:t>0</w:t>
            </w:r>
          </w:p>
        </w:tc>
      </w:tr>
      <w:tr w14:paraId="26E01E2C"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961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第二十条第（八）项</w:t>
            </w:r>
          </w:p>
        </w:tc>
      </w:tr>
      <w:tr w14:paraId="611F6B7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EF25892"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23CCA0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本年收费金额（单位：万元）</w:t>
            </w:r>
          </w:p>
        </w:tc>
      </w:tr>
      <w:tr w14:paraId="749ED468"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D69ECC1"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行政事业性收费</w:t>
            </w:r>
          </w:p>
        </w:tc>
        <w:tc>
          <w:tcPr>
            <w:tcW w:type="dxa" w:w="7304"/>
            <w:gridSpan w:val="3"/>
            <w:tcBorders>
              <w:bottom w:color="000000" w:space="0" w:sz="8" w:val="single"/>
              <w:right w:color="000000" w:space="0" w:sz="8" w:val="single"/>
            </w:tcBorders>
            <w:vAlign w:val="center"/>
          </w:tcPr>
          <w:p>
            <w:r>
              <w:t>0</w:t>
            </w:r>
          </w:p>
        </w:tc>
      </w:tr>
    </w:tbl>
    <w:p w14:paraId="0C478D6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三、收到和处理政府信息公开申请情况</w:t>
      </w:r>
    </w:p>
    <w:p w14:paraId="30084006"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8"/>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firstColumn="1" w:firstRow="1" w:lastColumn="0" w:lastRow="0" w:noHBand="0" w:noVBand="1" w:val="04A0"/>
      </w:tblPr>
      <w:tblGrid>
        <w:gridCol w:w="770"/>
        <w:gridCol w:w="942"/>
        <w:gridCol w:w="3220"/>
        <w:gridCol w:w="688"/>
        <w:gridCol w:w="688"/>
        <w:gridCol w:w="689"/>
        <w:gridCol w:w="688"/>
        <w:gridCol w:w="687"/>
        <w:gridCol w:w="688"/>
        <w:gridCol w:w="688"/>
      </w:tblGrid>
      <w:tr w14:paraId="7CFC63A4" w14:textId="77777777" w:rsidR="00C14315" w:rsidTr="00F44765">
        <w:trPr>
          <w:jc w:val="center"/>
        </w:trPr>
        <w:tc>
          <w:tcPr>
            <w:tcW w:type="dxa" w:w="4931"/>
            <w:gridSpan w:val="3"/>
            <w:vMerge w:val="restart"/>
            <w:tcBorders>
              <w:right w:color="000000" w:space="0" w:sz="8" w:val="single"/>
            </w:tcBorders>
            <w:vAlign w:val="center"/>
          </w:tcPr>
          <w:p w14:paraId="478CE1F9" w14:textId="77777777" w:rsidR="00C14315" w:rsidRDefault="00F44765">
            <w:pPr>
              <w:widowControl/>
              <w:jc w:val="left"/>
              <w:rPr>
                <w:rFonts w:ascii="宋体" w:cs="宋体" w:eastAsia="宋体" w:hAnsi="宋体"/>
                <w:kern w:val="0"/>
                <w:sz w:val="24"/>
                <w:szCs w:val="24"/>
              </w:rPr>
            </w:pPr>
            <w:r>
              <w:rPr>
                <w:rFonts w:ascii="楷体" w:cs="宋体" w:eastAsia="楷体" w:hAnsi="楷体"/>
                <w:kern w:val="0"/>
                <w:sz w:val="20"/>
                <w:szCs w:val="20"/>
              </w:rPr>
              <w:t>（本列数据的勾</w:t>
            </w:r>
            <w:proofErr w:type="gramStart"/>
            <w:r>
              <w:rPr>
                <w:rFonts w:ascii="楷体" w:cs="宋体" w:eastAsia="楷体" w:hAnsi="楷体"/>
                <w:kern w:val="0"/>
                <w:sz w:val="20"/>
                <w:szCs w:val="20"/>
              </w:rPr>
              <w:t>稽</w:t>
            </w:r>
            <w:proofErr w:type="gramEnd"/>
            <w:r>
              <w:rPr>
                <w:rFonts w:ascii="楷体" w:cs="宋体" w:eastAsia="楷体" w:hAnsi="楷体"/>
                <w:kern w:val="0"/>
                <w:sz w:val="20"/>
                <w:szCs w:val="20"/>
              </w:rPr>
              <w:t>关系为：第一项加第二项之和，等于第三项加第四项之和）</w:t>
            </w:r>
          </w:p>
        </w:tc>
        <w:tc>
          <w:tcPr>
            <w:tcW w:type="dxa" w:w="4816"/>
            <w:gridSpan w:val="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2C5E55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申请人情况</w:t>
            </w:r>
          </w:p>
        </w:tc>
      </w:tr>
      <w:tr w14:paraId="5A3F72CA" w14:textId="77777777" w:rsidR="00C14315" w:rsidTr="00F44765">
        <w:trPr>
          <w:jc w:val="center"/>
        </w:trPr>
        <w:tc>
          <w:tcPr>
            <w:tcW w:type="dxa" w:w="4931"/>
            <w:gridSpan w:val="3"/>
            <w:vMerge/>
            <w:tcMar>
              <w:left w:type="dxa" w:w="10"/>
              <w:right w:type="dxa" w:w="10"/>
            </w:tcMar>
            <w:vAlign w:val="center"/>
          </w:tcPr>
          <w:p w14:paraId="79878263" w14:textId="77777777" w:rsidR="00C14315" w:rsidRDefault="00C14315">
            <w:pPr>
              <w:widowControl/>
              <w:jc w:val="left"/>
              <w:rPr>
                <w:rFonts w:ascii="宋体" w:cs="宋体" w:eastAsia="宋体" w:hAnsi="宋体"/>
                <w:kern w:val="0"/>
                <w:sz w:val="24"/>
                <w:szCs w:val="24"/>
              </w:rPr>
            </w:pPr>
          </w:p>
        </w:tc>
        <w:tc>
          <w:tcPr>
            <w:tcW w:type="dxa" w:w="688"/>
            <w:vMerge w:val="restart"/>
            <w:tcBorders>
              <w:right w:color="000000" w:space="0" w:sz="8" w:val="single"/>
            </w:tcBorders>
            <w:tcMar>
              <w:left w:type="dxa" w:w="57"/>
              <w:right w:type="dxa" w:w="57"/>
            </w:tcMar>
            <w:vAlign w:val="center"/>
          </w:tcPr>
          <w:p w14:paraId="5EA211D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自然人</w:t>
            </w:r>
          </w:p>
        </w:tc>
        <w:tc>
          <w:tcPr>
            <w:tcW w:type="dxa" w:w="3440"/>
            <w:gridSpan w:val="5"/>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A9250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法人或其他组织</w:t>
            </w:r>
          </w:p>
        </w:tc>
        <w:tc>
          <w:tcPr>
            <w:tcW w:type="dxa" w:w="688"/>
            <w:vMerge w:val="restart"/>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A27F71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r>
      <w:tr w14:paraId="1F4B972D" w14:textId="77777777" w:rsidR="00C14315" w:rsidTr="00F44765">
        <w:trPr>
          <w:jc w:val="center"/>
        </w:trPr>
        <w:tc>
          <w:tcPr>
            <w:tcW w:type="dxa" w:w="4931"/>
            <w:gridSpan w:val="3"/>
            <w:vMerge/>
            <w:tcMar>
              <w:left w:type="dxa" w:w="10"/>
              <w:right w:type="dxa" w:w="10"/>
            </w:tcMar>
            <w:vAlign w:val="center"/>
          </w:tcPr>
          <w:p w14:paraId="4F23A120" w14:textId="77777777" w:rsidR="00C14315" w:rsidRDefault="00C14315">
            <w:pPr>
              <w:widowControl/>
              <w:jc w:val="left"/>
              <w:rPr>
                <w:rFonts w:ascii="宋体" w:cs="宋体" w:eastAsia="宋体" w:hAnsi="宋体"/>
                <w:kern w:val="0"/>
                <w:sz w:val="24"/>
                <w:szCs w:val="24"/>
              </w:rPr>
            </w:pPr>
          </w:p>
        </w:tc>
        <w:tc>
          <w:tcPr>
            <w:tcW w:type="dxa" w:w="688"/>
            <w:vMerge/>
            <w:tcBorders>
              <w:right w:color="000000" w:space="0" w:sz="8" w:val="single"/>
            </w:tcBorders>
            <w:tcMar>
              <w:left w:type="dxa" w:w="10"/>
              <w:right w:type="dxa" w:w="10"/>
            </w:tcMar>
            <w:vAlign w:val="center"/>
          </w:tcPr>
          <w:p w14:paraId="24E91820" w14:textId="77777777" w:rsidR="00C14315" w:rsidRDefault="00C14315">
            <w:pPr>
              <w:widowControl/>
              <w:jc w:val="left"/>
              <w:rPr>
                <w:rFonts w:ascii="宋体" w:cs="宋体" w:eastAsia="宋体" w:hAnsi="宋体"/>
                <w:kern w:val="0"/>
                <w:sz w:val="24"/>
                <w:szCs w:val="24"/>
              </w:rPr>
            </w:pP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D4F52C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商业</w:t>
            </w:r>
          </w:p>
          <w:p w14:paraId="07266266"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企业</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6699A3F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科研</w:t>
            </w:r>
          </w:p>
          <w:p w14:paraId="2F3339E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5B423015"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社会公益组织</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53B808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法律服务机构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6BF82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p>
        </w:tc>
        <w:tc>
          <w:tcPr>
            <w:tcW w:type="dxa" w:w="688"/>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1C08F92B" w14:textId="77777777" w:rsidR="00C14315" w:rsidRDefault="00C14315">
            <w:pPr>
              <w:widowControl/>
              <w:jc w:val="left"/>
              <w:rPr>
                <w:rFonts w:ascii="宋体" w:cs="宋体" w:eastAsia="宋体" w:hAnsi="宋体"/>
                <w:kern w:val="0"/>
                <w:sz w:val="24"/>
                <w:szCs w:val="24"/>
              </w:rPr>
            </w:pPr>
          </w:p>
        </w:tc>
      </w:tr>
      <w:tr w14:paraId="25DE4458" w14:textId="77777777" w:rsidR="00C14315" w:rsidTr="00F44765">
        <w:trPr>
          <w:jc w:val="center"/>
        </w:trPr>
        <w:tc>
          <w:tcPr>
            <w:tcW w:type="dxa" w:w="4931"/>
            <w:gridSpan w:val="3"/>
            <w:tcMar>
              <w:left w:type="dxa" w:w="57"/>
              <w:right w:type="dxa" w:w="57"/>
            </w:tcMar>
            <w:vAlign w:val="center"/>
          </w:tcPr>
          <w:p w14:paraId="31F367C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一、本年新收政府信息公开申请数量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9C0B0C2" w14:textId="77777777" w:rsidR="00C14315" w:rsidTr="00F44765">
        <w:trPr>
          <w:jc w:val="center"/>
        </w:trPr>
        <w:tc>
          <w:tcPr>
            <w:tcW w:type="dxa" w:w="4931"/>
            <w:gridSpan w:val="3"/>
            <w:tcMar>
              <w:left w:type="dxa" w:w="57"/>
              <w:right w:type="dxa" w:w="57"/>
            </w:tcMar>
            <w:vAlign w:val="center"/>
          </w:tcPr>
          <w:p w14:paraId="5AF0AAD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二、上年结转政府信息公开申请数量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F34EF5B" w14:textId="77777777" w:rsidR="00C14315" w:rsidTr="00F44765">
        <w:trPr>
          <w:jc w:val="center"/>
        </w:trPr>
        <w:tc>
          <w:tcPr>
            <w:tcW w:type="dxa" w:w="769"/>
            <w:vMerge w:val="restart"/>
            <w:tcMar>
              <w:left w:type="dxa" w:w="57"/>
              <w:right w:type="dxa" w:w="57"/>
            </w:tcMar>
            <w:vAlign w:val="center"/>
          </w:tcPr>
          <w:p w14:paraId="3049D69F"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三、本年度办理结果</w:t>
            </w:r>
          </w:p>
        </w:tc>
        <w:tc>
          <w:tcPr>
            <w:tcW w:type="dxa" w:w="4162"/>
            <w:gridSpan w:val="2"/>
            <w:tcMar>
              <w:left w:type="dxa" w:w="57"/>
              <w:right w:type="dxa" w:w="57"/>
            </w:tcMar>
            <w:vAlign w:val="center"/>
          </w:tcPr>
          <w:p w14:paraId="1BBB6AE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（一）予以公开</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8AF17B1" w14:textId="77777777" w:rsidR="00C14315" w:rsidTr="00F44765">
        <w:trPr>
          <w:jc w:val="center"/>
        </w:trPr>
        <w:tc>
          <w:tcPr>
            <w:tcW w:type="dxa" w:w="769"/>
            <w:vMerge/>
            <w:tcMar>
              <w:left w:type="dxa" w:w="10"/>
              <w:right w:type="dxa" w:w="10"/>
            </w:tcMar>
            <w:vAlign w:val="center"/>
          </w:tcPr>
          <w:p w14:paraId="2CCF7849"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E4656A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（二）部分公开</w:t>
            </w:r>
            <w:r>
              <w:rPr>
                <w:rFonts w:ascii="楷体" w:cs="宋体" w:eastAsia="楷体" w:hAnsi="楷体"/>
                <w:kern w:val="0"/>
                <w:sz w:val="20"/>
                <w:szCs w:val="20"/>
              </w:rPr>
              <w:t>（区分处理的，只计这一情形，不计其他情形）</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776CA82" w14:textId="77777777" w:rsidR="00C14315" w:rsidTr="00F44765">
        <w:trPr>
          <w:jc w:val="center"/>
        </w:trPr>
        <w:tc>
          <w:tcPr>
            <w:tcW w:type="dxa" w:w="769"/>
            <w:vMerge/>
            <w:tcMar>
              <w:left w:type="dxa" w:w="10"/>
              <w:right w:type="dxa" w:w="10"/>
            </w:tcMar>
            <w:vAlign w:val="center"/>
          </w:tcPr>
          <w:p w14:paraId="202CCB54"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718109D0"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（三）不予公开</w:t>
            </w:r>
          </w:p>
        </w:tc>
        <w:tc>
          <w:tcPr>
            <w:tcW w:type="dxa" w:w="3220"/>
            <w:tcMar>
              <w:left w:type="dxa" w:w="57"/>
              <w:right w:type="dxa" w:w="57"/>
            </w:tcMar>
          </w:tcPr>
          <w:p w14:paraId="7E62688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属于国家秘密</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C132ACE" w14:textId="77777777" w:rsidR="00C14315" w:rsidTr="00F44765">
        <w:trPr>
          <w:jc w:val="center"/>
        </w:trPr>
        <w:tc>
          <w:tcPr>
            <w:tcW w:type="dxa" w:w="769"/>
            <w:vMerge/>
            <w:tcMar>
              <w:left w:type="dxa" w:w="10"/>
              <w:right w:type="dxa" w:w="10"/>
            </w:tcMar>
            <w:vAlign w:val="center"/>
          </w:tcPr>
          <w:p w14:paraId="6343B6F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7CFF8F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408F6C5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其他法律行政法规禁止公开</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2E86CC" w14:textId="77777777" w:rsidR="00C14315" w:rsidTr="00F44765">
        <w:trPr>
          <w:jc w:val="center"/>
        </w:trPr>
        <w:tc>
          <w:tcPr>
            <w:tcW w:type="dxa" w:w="769"/>
            <w:vMerge/>
            <w:tcMar>
              <w:left w:type="dxa" w:w="10"/>
              <w:right w:type="dxa" w:w="10"/>
            </w:tcMar>
            <w:vAlign w:val="center"/>
          </w:tcPr>
          <w:p w14:paraId="565DEA7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6BF9AC74"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6459BF52"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危及</w:t>
            </w:r>
            <w:r>
              <w:rPr>
                <w:rFonts w:ascii="宋体" w:cs="宋体" w:hAnsi="宋体"/>
                <w:kern w:val="0"/>
                <w:sz w:val="20"/>
                <w:szCs w:val="20"/>
              </w:rPr>
              <w:t>“</w:t>
            </w:r>
            <w:r>
              <w:rPr>
                <w:rFonts w:ascii="宋体" w:cs="宋体" w:hAnsi="宋体"/>
                <w:kern w:val="0"/>
                <w:sz w:val="20"/>
                <w:szCs w:val="20"/>
              </w:rPr>
              <w:t>三安全</w:t>
            </w:r>
            <w:proofErr w:type="gramStart"/>
            <w:r>
              <w:rPr>
                <w:rFonts w:ascii="宋体" w:cs="宋体" w:hAnsi="宋体"/>
                <w:kern w:val="0"/>
                <w:sz w:val="20"/>
                <w:szCs w:val="20"/>
              </w:rPr>
              <w:t>一</w:t>
            </w:r>
            <w:proofErr w:type="gramEnd"/>
            <w:r>
              <w:rPr>
                <w:rFonts w:ascii="宋体" w:cs="宋体" w:hAnsi="宋体"/>
                <w:kern w:val="0"/>
                <w:sz w:val="20"/>
                <w:szCs w:val="20"/>
              </w:rPr>
              <w:t>稳定</w:t>
            </w:r>
            <w:r>
              <w:rPr>
                <w:rFonts w:ascii="宋体" w:cs="宋体" w:hAnsi="宋体"/>
                <w:kern w:val="0"/>
                <w:sz w:val="20"/>
                <w:szCs w:val="20"/>
              </w:rPr>
              <w:t>”</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1592E6B" w14:textId="77777777" w:rsidR="00C14315" w:rsidTr="00F44765">
        <w:trPr>
          <w:jc w:val="center"/>
        </w:trPr>
        <w:tc>
          <w:tcPr>
            <w:tcW w:type="dxa" w:w="769"/>
            <w:vMerge/>
            <w:tcMar>
              <w:left w:type="dxa" w:w="10"/>
              <w:right w:type="dxa" w:w="10"/>
            </w:tcMar>
            <w:vAlign w:val="center"/>
          </w:tcPr>
          <w:p w14:paraId="19F60D5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F6B66AE"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4ED60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保护第三方合法权益</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8C4F2AA" w14:textId="77777777" w:rsidR="00C14315" w:rsidTr="00F44765">
        <w:trPr>
          <w:jc w:val="center"/>
        </w:trPr>
        <w:tc>
          <w:tcPr>
            <w:tcW w:type="dxa" w:w="769"/>
            <w:vMerge/>
            <w:tcMar>
              <w:left w:type="dxa" w:w="10"/>
              <w:right w:type="dxa" w:w="10"/>
            </w:tcMar>
            <w:vAlign w:val="center"/>
          </w:tcPr>
          <w:p w14:paraId="25566C5B"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F879C59"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085F28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属于三类内部事务信息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7433F6" w14:textId="77777777" w:rsidR="00C14315" w:rsidTr="00F44765">
        <w:trPr>
          <w:jc w:val="center"/>
        </w:trPr>
        <w:tc>
          <w:tcPr>
            <w:tcW w:type="dxa" w:w="769"/>
            <w:vMerge/>
            <w:tcMar>
              <w:left w:type="dxa" w:w="10"/>
              <w:right w:type="dxa" w:w="10"/>
            </w:tcMar>
            <w:vAlign w:val="center"/>
          </w:tcPr>
          <w:p w14:paraId="769E31D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2DEAA806"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E3CBA89"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6.</w:t>
            </w:r>
            <w:r>
              <w:rPr>
                <w:rFonts w:ascii="宋体" w:cs="宋体" w:hAnsi="宋体"/>
                <w:kern w:val="0"/>
                <w:sz w:val="20"/>
                <w:szCs w:val="20"/>
              </w:rPr>
              <w:t>属于四类过程性信息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7E55B9C" w14:textId="77777777" w:rsidR="00C14315" w:rsidTr="00F44765">
        <w:trPr>
          <w:jc w:val="center"/>
        </w:trPr>
        <w:tc>
          <w:tcPr>
            <w:tcW w:type="dxa" w:w="769"/>
            <w:vMerge/>
            <w:tcMar>
              <w:left w:type="dxa" w:w="10"/>
              <w:right w:type="dxa" w:w="10"/>
            </w:tcMar>
            <w:vAlign w:val="center"/>
          </w:tcPr>
          <w:p w14:paraId="0AFA318C"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B4B7EC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5A4B9DF7"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7.</w:t>
            </w:r>
            <w:r>
              <w:rPr>
                <w:rFonts w:ascii="宋体" w:cs="宋体" w:hAnsi="宋体"/>
                <w:kern w:val="0"/>
                <w:sz w:val="20"/>
                <w:szCs w:val="20"/>
              </w:rPr>
              <w:t>属于行政执法案卷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E7D0BCF" w14:textId="77777777" w:rsidR="00C14315" w:rsidTr="00F44765">
        <w:trPr>
          <w:jc w:val="center"/>
        </w:trPr>
        <w:tc>
          <w:tcPr>
            <w:tcW w:type="dxa" w:w="769"/>
            <w:vMerge/>
            <w:tcMar>
              <w:left w:type="dxa" w:w="10"/>
              <w:right w:type="dxa" w:w="10"/>
            </w:tcMar>
            <w:vAlign w:val="center"/>
          </w:tcPr>
          <w:p w14:paraId="14F8614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17B82F4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0FFA1B13"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8.</w:t>
            </w:r>
            <w:r>
              <w:rPr>
                <w:rFonts w:ascii="宋体" w:cs="宋体" w:hAnsi="宋体"/>
                <w:kern w:val="0"/>
                <w:sz w:val="20"/>
                <w:szCs w:val="20"/>
              </w:rPr>
              <w:t>属于行政查询事项</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514194D" w14:textId="77777777" w:rsidR="00C14315" w:rsidTr="00F44765">
        <w:trPr>
          <w:jc w:val="center"/>
        </w:trPr>
        <w:tc>
          <w:tcPr>
            <w:tcW w:type="dxa" w:w="769"/>
            <w:vMerge/>
            <w:tcMar>
              <w:left w:type="dxa" w:w="10"/>
              <w:right w:type="dxa" w:w="10"/>
            </w:tcMar>
            <w:vAlign w:val="center"/>
          </w:tcPr>
          <w:p w14:paraId="4E3AECCC"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459B3DD4"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（四）无法提供</w:t>
            </w:r>
          </w:p>
        </w:tc>
        <w:tc>
          <w:tcPr>
            <w:tcW w:type="dxa" w:w="3220"/>
            <w:tcMar>
              <w:left w:type="dxa" w:w="57"/>
              <w:right w:type="dxa" w:w="57"/>
            </w:tcMar>
          </w:tcPr>
          <w:p w14:paraId="6F9FC12F"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本机关不掌握相关政府信息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4F5AC7A1" w14:textId="77777777" w:rsidR="00C14315" w:rsidTr="00F44765">
        <w:trPr>
          <w:jc w:val="center"/>
        </w:trPr>
        <w:tc>
          <w:tcPr>
            <w:tcW w:type="dxa" w:w="769"/>
            <w:vMerge/>
            <w:tcMar>
              <w:left w:type="dxa" w:w="10"/>
              <w:right w:type="dxa" w:w="10"/>
            </w:tcMar>
            <w:vAlign w:val="center"/>
          </w:tcPr>
          <w:p w14:paraId="1F1B8939"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E6C2473"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5BF3A5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没有现成信息需要另行制作</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563EB08" w14:textId="77777777" w:rsidR="00C14315" w:rsidTr="00F44765">
        <w:trPr>
          <w:jc w:val="center"/>
        </w:trPr>
        <w:tc>
          <w:tcPr>
            <w:tcW w:type="dxa" w:w="769"/>
            <w:vMerge/>
            <w:tcMar>
              <w:left w:type="dxa" w:w="10"/>
              <w:right w:type="dxa" w:w="10"/>
            </w:tcMar>
            <w:vAlign w:val="center"/>
          </w:tcPr>
          <w:p w14:paraId="68A9404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014E1D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29492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补正后申请内容仍不明确</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8CD8B17" w14:textId="77777777" w:rsidR="00C14315" w:rsidTr="00F44765">
        <w:trPr>
          <w:jc w:val="center"/>
        </w:trPr>
        <w:tc>
          <w:tcPr>
            <w:tcW w:type="dxa" w:w="769"/>
            <w:vMerge/>
            <w:tcMar>
              <w:left w:type="dxa" w:w="10"/>
              <w:right w:type="dxa" w:w="10"/>
            </w:tcMar>
            <w:vAlign w:val="center"/>
          </w:tcPr>
          <w:p w14:paraId="453C7928"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3C00D8E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（五）</w:t>
            </w:r>
            <w:proofErr w:type="gramStart"/>
            <w:r>
              <w:rPr>
                <w:rFonts w:ascii="宋体" w:cs="宋体" w:hAnsi="宋体"/>
                <w:kern w:val="0"/>
                <w:sz w:val="20"/>
                <w:szCs w:val="20"/>
              </w:rPr>
              <w:t>不予处理</w:t>
            </w:r>
            <w:proofErr w:type="gramEnd"/>
          </w:p>
        </w:tc>
        <w:tc>
          <w:tcPr>
            <w:tcW w:type="dxa" w:w="3220"/>
            <w:tcMar>
              <w:left w:type="dxa" w:w="57"/>
              <w:right w:type="dxa" w:w="57"/>
            </w:tcMar>
          </w:tcPr>
          <w:p w14:paraId="078E334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信访举报投诉类申请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4B52ED2" w14:textId="77777777" w:rsidR="00C14315" w:rsidTr="00F44765">
        <w:trPr>
          <w:jc w:val="center"/>
        </w:trPr>
        <w:tc>
          <w:tcPr>
            <w:tcW w:type="dxa" w:w="769"/>
            <w:vMerge/>
            <w:tcMar>
              <w:left w:type="dxa" w:w="10"/>
              <w:right w:type="dxa" w:w="10"/>
            </w:tcMar>
            <w:vAlign w:val="center"/>
          </w:tcPr>
          <w:p w14:paraId="205DBF3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77D238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C8D2A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87F6436" w14:textId="77777777" w:rsidR="00C14315" w:rsidTr="00F44765">
        <w:trPr>
          <w:jc w:val="center"/>
        </w:trPr>
        <w:tc>
          <w:tcPr>
            <w:tcW w:type="dxa" w:w="769"/>
            <w:vMerge/>
            <w:tcMar>
              <w:left w:type="dxa" w:w="10"/>
              <w:right w:type="dxa" w:w="10"/>
            </w:tcMar>
            <w:vAlign w:val="center"/>
          </w:tcPr>
          <w:p w14:paraId="35D1F1A7"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30527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2D8349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要求提供公开出版物</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BE0354A" w14:textId="77777777" w:rsidR="00C14315" w:rsidTr="00F44765">
        <w:trPr>
          <w:jc w:val="center"/>
        </w:trPr>
        <w:tc>
          <w:tcPr>
            <w:tcW w:type="dxa" w:w="769"/>
            <w:vMerge/>
            <w:tcMar>
              <w:left w:type="dxa" w:w="10"/>
              <w:right w:type="dxa" w:w="10"/>
            </w:tcMar>
            <w:vAlign w:val="center"/>
          </w:tcPr>
          <w:p w14:paraId="2A3448E8"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2DDA53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187DB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无正当理由大量反复申请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8C6BEA" w14:textId="77777777" w:rsidR="00C14315" w:rsidTr="00F44765">
        <w:trPr>
          <w:trHeight w:val="779"/>
          <w:jc w:val="center"/>
        </w:trPr>
        <w:tc>
          <w:tcPr>
            <w:tcW w:type="dxa" w:w="769"/>
            <w:vMerge/>
            <w:tcMar>
              <w:left w:type="dxa" w:w="10"/>
              <w:right w:type="dxa" w:w="10"/>
            </w:tcMar>
            <w:vAlign w:val="center"/>
          </w:tcPr>
          <w:p w14:paraId="53691CB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2807C1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16255ABF"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要求行政机关确认或重新出具已获取信息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2FD5F6F" w14:textId="77777777" w:rsidR="00C14315" w:rsidTr="00F44765">
        <w:trPr>
          <w:jc w:val="center"/>
        </w:trPr>
        <w:tc>
          <w:tcPr>
            <w:tcW w:type="dxa" w:w="769"/>
            <w:vMerge/>
            <w:tcMar>
              <w:left w:type="dxa" w:w="10"/>
              <w:right w:type="dxa" w:w="10"/>
            </w:tcMar>
            <w:vAlign w:val="center"/>
          </w:tcPr>
          <w:p w14:paraId="0514D8CD"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0BCDD1D2"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（六）其他处理</w:t>
            </w:r>
          </w:p>
        </w:tc>
        <w:tc>
          <w:tcPr>
            <w:tcW w:type="dxa" w:w="3220"/>
            <w:tcMar>
              <w:left w:type="dxa" w:w="57"/>
              <w:right w:type="dxa" w:w="57"/>
            </w:tcMar>
            <w:vAlign w:val="center"/>
          </w:tcPr>
          <w:p w14:paraId="71F7123E"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申请人无正当理由逾期</w:t>
            </w:r>
            <w:proofErr w:type="gramStart"/>
            <w:r>
              <w:rPr>
                <w:rFonts w:ascii="宋体" w:cs="宋体" w:hAnsi="宋体"/>
                <w:kern w:val="0"/>
                <w:sz w:val="20"/>
                <w:szCs w:val="20"/>
              </w:rPr>
              <w:t>不</w:t>
            </w:r>
            <w:proofErr w:type="gramEnd"/>
            <w:r>
              <w:rPr>
                <w:rFonts w:ascii="宋体" w:cs="宋体" w:hAnsi="宋体"/>
                <w:kern w:val="0"/>
                <w:sz w:val="20"/>
                <w:szCs w:val="20"/>
              </w:rPr>
              <w:t>补正、行政机关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12846D3" w14:textId="77777777" w:rsidR="00C14315" w:rsidTr="00F44765">
        <w:trPr>
          <w:jc w:val="center"/>
        </w:trPr>
        <w:tc>
          <w:tcPr>
            <w:tcW w:type="dxa" w:w="769"/>
            <w:vMerge/>
            <w:tcMar>
              <w:left w:type="dxa" w:w="10"/>
              <w:right w:type="dxa" w:w="10"/>
            </w:tcMar>
            <w:vAlign w:val="center"/>
          </w:tcPr>
          <w:p w14:paraId="6D42FC0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DCB055D"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30998772"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申请人逾期未按收费通知要求缴纳费用、行政机关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EFA1B61" w14:textId="77777777" w:rsidR="00C14315" w:rsidTr="00F44765">
        <w:trPr>
          <w:jc w:val="center"/>
        </w:trPr>
        <w:tc>
          <w:tcPr>
            <w:tcW w:type="dxa" w:w="769"/>
            <w:vMerge/>
            <w:tcMar>
              <w:left w:type="dxa" w:w="10"/>
              <w:right w:type="dxa" w:w="10"/>
            </w:tcMar>
            <w:vAlign w:val="center"/>
          </w:tcPr>
          <w:p w14:paraId="6131E61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55E21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43CF7A5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其他</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D27E9C6" w14:textId="77777777" w:rsidR="00C14315" w:rsidTr="00F44765">
        <w:trPr>
          <w:jc w:val="center"/>
        </w:trPr>
        <w:tc>
          <w:tcPr>
            <w:tcW w:type="dxa" w:w="769"/>
            <w:vMerge/>
            <w:tcMar>
              <w:left w:type="dxa" w:w="10"/>
              <w:right w:type="dxa" w:w="10"/>
            </w:tcMar>
            <w:vAlign w:val="center"/>
          </w:tcPr>
          <w:p w14:paraId="4BF9172D"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DFB095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（七）总计</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0A8829" w14:textId="77777777" w:rsidR="00C14315" w:rsidTr="00F44765">
        <w:trPr>
          <w:jc w:val="center"/>
        </w:trPr>
        <w:tc>
          <w:tcPr>
            <w:tcW w:type="dxa" w:w="4931"/>
            <w:gridSpan w:val="3"/>
            <w:tcMar>
              <w:left w:type="dxa" w:w="57"/>
              <w:right w:type="dxa" w:w="57"/>
            </w:tcMar>
            <w:vAlign w:val="center"/>
          </w:tcPr>
          <w:p w14:paraId="1F3FFFD6"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四、结转下年度继续办理</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bl>
    <w:p w14:paraId="0E16827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四、政府信息公开行政复议、行政诉讼情况</w:t>
      </w:r>
    </w:p>
    <w:p w14:paraId="10979C32" w14:textId="77777777" w:rsidR="00C14315" w:rsidRDefault="00C14315">
      <w:pPr>
        <w:widowControl/>
        <w:shd w:color="auto" w:fill="FFFFFF" w:val="clear"/>
        <w:ind w:firstLine="480"/>
        <w:rPr>
          <w:rFonts w:ascii="宋体" w:cs="宋体" w:eastAsia="宋体" w:hAnsi="宋体"/>
          <w:b/>
          <w:bCs/>
          <w:color w:val="333333"/>
          <w:kern w:val="0"/>
          <w:sz w:val="24"/>
          <w:szCs w:val="24"/>
        </w:rPr>
      </w:pPr>
    </w:p>
    <w:tbl>
      <w:tblPr>
        <w:tblW w:type="dxa" w:w="9748"/>
        <w:jc w:val="center"/>
        <w:tblLayout w:type="fixed"/>
        <w:tblLook w:firstColumn="1" w:firstRow="1" w:lastColumn="0" w:lastRow="0" w:noHBand="0" w:noVBand="1" w:val="04A0"/>
      </w:tblPr>
      <w:tblGrid>
        <w:gridCol w:w="650"/>
        <w:gridCol w:w="650"/>
        <w:gridCol w:w="649"/>
        <w:gridCol w:w="650"/>
        <w:gridCol w:w="650"/>
        <w:gridCol w:w="650"/>
        <w:gridCol w:w="650"/>
        <w:gridCol w:w="649"/>
        <w:gridCol w:w="650"/>
        <w:gridCol w:w="650"/>
        <w:gridCol w:w="650"/>
        <w:gridCol w:w="650"/>
        <w:gridCol w:w="650"/>
        <w:gridCol w:w="650"/>
        <w:gridCol w:w="650"/>
      </w:tblGrid>
      <w:tr w14:paraId="113768EB" w14:textId="77777777" w:rsidR="00C14315">
        <w:trPr>
          <w:jc w:val="center"/>
        </w:trPr>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234FEDE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行政复议</w:t>
            </w:r>
          </w:p>
        </w:tc>
        <w:tc>
          <w:tcPr>
            <w:tcW w:type="dxa" w:w="6499"/>
            <w:gridSpan w:val="10"/>
            <w:tcBorders>
              <w:top w:color="000000" w:space="0" w:sz="8" w:val="single"/>
              <w:left w:color="000000" w:space="0" w:sz="8" w:val="single"/>
              <w:bottom w:color="000000" w:space="0" w:sz="8" w:val="single"/>
              <w:right w:color="000000" w:space="0" w:sz="8" w:val="single"/>
            </w:tcBorders>
            <w:vAlign w:val="center"/>
          </w:tcPr>
          <w:p w14:paraId="4C66723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行政诉讼</w:t>
            </w:r>
          </w:p>
        </w:tc>
      </w:tr>
      <w:tr w14:paraId="37AE5170" w14:textId="77777777" w:rsidR="00C14315">
        <w:trPr>
          <w:jc w:val="center"/>
        </w:trPr>
        <w:tc>
          <w:tcPr>
            <w:tcW w:type="dxa" w:w="650"/>
            <w:vMerge w:val="restart"/>
            <w:tcBorders>
              <w:left w:color="000000" w:space="0" w:sz="8" w:val="single"/>
              <w:bottom w:color="000000" w:space="0" w:sz="8" w:val="single"/>
              <w:right w:color="000000" w:space="0" w:sz="8" w:val="single"/>
            </w:tcBorders>
            <w:vAlign w:val="center"/>
          </w:tcPr>
          <w:p w14:paraId="15C0ABC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结果维持</w:t>
            </w:r>
          </w:p>
        </w:tc>
        <w:tc>
          <w:tcPr>
            <w:tcW w:type="dxa" w:w="650"/>
            <w:vMerge w:val="restart"/>
            <w:tcBorders>
              <w:left w:color="000000" w:space="0" w:sz="8" w:val="single"/>
              <w:bottom w:color="000000" w:space="0" w:sz="8" w:val="single"/>
              <w:right w:color="000000" w:space="0" w:sz="8" w:val="single"/>
            </w:tcBorders>
            <w:vAlign w:val="center"/>
          </w:tcPr>
          <w:p w14:paraId="1B8BCCA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vMerge w:val="restart"/>
            <w:tcBorders>
              <w:top w:color="000000" w:space="0" w:sz="8" w:val="single"/>
              <w:left w:color="000000" w:space="0" w:sz="8" w:val="single"/>
              <w:bottom w:color="000000" w:space="0" w:sz="8" w:val="single"/>
              <w:right w:color="000000" w:space="0" w:sz="8" w:val="single"/>
            </w:tcBorders>
            <w:vAlign w:val="center"/>
          </w:tcPr>
          <w:p w14:paraId="5D374C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2D7FCE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1B2C8C2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170A52B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未经复议直接起诉</w:t>
            </w:r>
          </w:p>
        </w:tc>
        <w:tc>
          <w:tcPr>
            <w:tcW w:type="dxa" w:w="3250"/>
            <w:gridSpan w:val="5"/>
            <w:tcBorders>
              <w:top w:color="000000" w:space="0" w:sz="8" w:val="single"/>
              <w:left w:color="000000" w:space="0" w:sz="8" w:val="single"/>
              <w:bottom w:color="000000" w:space="0" w:sz="8" w:val="single"/>
              <w:right w:color="000000" w:space="0" w:sz="8" w:val="single"/>
            </w:tcBorders>
            <w:vAlign w:val="center"/>
          </w:tcPr>
          <w:p w14:paraId="021340EC"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复议后起诉</w:t>
            </w:r>
          </w:p>
        </w:tc>
      </w:tr>
      <w:tr w14:paraId="5D10382F" w14:textId="77777777" w:rsidR="00C14315">
        <w:trPr>
          <w:jc w:val="center"/>
        </w:trPr>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3576F5E8" w14:textId="77777777" w:rsidR="00C14315" w:rsidRDefault="00C14315">
            <w:pPr>
              <w:widowControl/>
              <w:jc w:val="left"/>
              <w:rPr>
                <w:rFonts w:ascii="宋体" w:cs="宋体" w:eastAsia="宋体" w:hAnsi="宋体"/>
                <w:kern w:val="0"/>
                <w:sz w:val="24"/>
                <w:szCs w:val="24"/>
              </w:rPr>
            </w:pPr>
          </w:p>
        </w:tc>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2FC482F3" w14:textId="77777777" w:rsidR="00C14315" w:rsidRDefault="00C14315">
            <w:pPr>
              <w:widowControl/>
              <w:jc w:val="left"/>
              <w:rPr>
                <w:rFonts w:ascii="宋体" w:cs="宋体" w:eastAsia="宋体" w:hAnsi="宋体"/>
                <w:kern w:val="0"/>
                <w:sz w:val="24"/>
                <w:szCs w:val="24"/>
              </w:rPr>
            </w:pPr>
          </w:p>
        </w:tc>
        <w:tc>
          <w:tcPr>
            <w:tcW w:type="dxa" w:w="649"/>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0E06A90"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5C64D853"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3CBC2F8" w14:textId="77777777" w:rsidR="00C14315" w:rsidRDefault="00C14315">
            <w:pPr>
              <w:widowControl/>
              <w:jc w:val="left"/>
              <w:rPr>
                <w:rFonts w:ascii="宋体" w:cs="宋体" w:eastAsia="宋体" w:hAnsi="宋体"/>
                <w:kern w:val="0"/>
                <w:sz w:val="24"/>
                <w:szCs w:val="24"/>
              </w:rPr>
            </w:pPr>
          </w:p>
        </w:tc>
        <w:tc>
          <w:tcPr>
            <w:tcW w:type="dxa" w:w="650"/>
            <w:tcBorders>
              <w:left w:color="000000" w:space="0" w:sz="8" w:val="single"/>
              <w:bottom w:color="000000" w:space="0" w:sz="8" w:val="single"/>
              <w:right w:color="000000" w:space="0" w:sz="8" w:val="single"/>
            </w:tcBorders>
            <w:vAlign w:val="center"/>
          </w:tcPr>
          <w:p w14:paraId="5B035D4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left w:color="000000" w:space="0" w:sz="8" w:val="single"/>
              <w:bottom w:color="000000" w:space="0" w:sz="8" w:val="single"/>
              <w:right w:color="000000" w:space="0" w:sz="8" w:val="single"/>
            </w:tcBorders>
            <w:vAlign w:val="center"/>
          </w:tcPr>
          <w:p w14:paraId="2B1DC3E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tcBorders>
              <w:top w:color="000000" w:space="0" w:sz="8" w:val="single"/>
              <w:left w:color="000000" w:space="0" w:sz="8" w:val="single"/>
              <w:bottom w:color="000000" w:space="0" w:sz="8" w:val="single"/>
              <w:right w:color="000000" w:space="0" w:sz="8" w:val="single"/>
            </w:tcBorders>
            <w:vAlign w:val="center"/>
          </w:tcPr>
          <w:p w14:paraId="2FF0883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39A5D0D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294A7AF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c>
          <w:tcPr>
            <w:tcW w:type="dxa" w:w="650"/>
            <w:tcBorders>
              <w:top w:color="000000" w:space="0" w:sz="8" w:val="single"/>
              <w:left w:color="000000" w:space="0" w:sz="8" w:val="single"/>
              <w:bottom w:color="000000" w:space="0" w:sz="8" w:val="single"/>
              <w:right w:color="000000" w:space="0" w:sz="8" w:val="single"/>
            </w:tcBorders>
            <w:vAlign w:val="center"/>
          </w:tcPr>
          <w:p w14:paraId="295B1C0F"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top w:color="000000" w:space="0" w:sz="8" w:val="single"/>
              <w:left w:color="000000" w:space="0" w:sz="8" w:val="single"/>
              <w:bottom w:color="000000" w:space="0" w:sz="8" w:val="single"/>
              <w:right w:color="000000" w:space="0" w:sz="8" w:val="single"/>
            </w:tcBorders>
            <w:vAlign w:val="center"/>
          </w:tcPr>
          <w:p w14:paraId="2750413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50"/>
            <w:tcBorders>
              <w:top w:color="000000" w:space="0" w:sz="8" w:val="single"/>
              <w:left w:color="000000" w:space="0" w:sz="8" w:val="single"/>
              <w:bottom w:color="000000" w:space="0" w:sz="8" w:val="single"/>
              <w:right w:color="000000" w:space="0" w:sz="8" w:val="single"/>
            </w:tcBorders>
            <w:vAlign w:val="center"/>
          </w:tcPr>
          <w:p w14:paraId="4CE3C08A"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其他</w:t>
            </w:r>
            <w:r>
              <w:rPr>
                <w:rFonts w:ascii="宋体" w:cs="宋体" w:eastAsia="宋体" w:hAnsi="宋体"/>
                <w:color w:val="000000"/>
                <w:kern w:val="0"/>
                <w:sz w:val="20"/>
                <w:szCs w:val="20"/>
              </w:rPr>
              <w:br/>
            </w:r>
            <w:r>
              <w:rPr>
                <w:rFonts w:ascii="宋体" w:cs="宋体" w:hAnsi="宋体"/>
                <w:color w:val="000000"/>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585E3FE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32C57B1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r>
      <w:tr w14:paraId="21C61D8B" w14:textId="77777777" w:rsidR="00C14315">
        <w:trPr>
          <w:trHeight w:val="672"/>
          <w:jc w:val="center"/>
        </w:trPr>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r>
    </w:tbl>
    <w:p w14:paraId="48682354" w14:textId="77777777" w:rsidR="00C14315" w:rsidRDefault="00F44765">
      <w:pPr>
        <w:widowControl/>
        <w:jc w:val="left"/>
        <w:rPr>
          <w:rFonts w:ascii="宋体" w:cs="宋体" w:eastAsia="宋体" w:hAnsi="宋体"/>
          <w:kern w:val="0"/>
          <w:sz w:val="24"/>
          <w:szCs w:val="24"/>
        </w:rPr>
      </w:pPr>
      <w:r>
        <w:rPr>
          <w:rFonts w:ascii="宋体" w:cs="宋体" w:eastAsia="宋体" w:hAnsi="宋体"/>
          <w:color w:val="333333"/>
          <w:kern w:val="0"/>
          <w:sz w:val="24"/>
          <w:szCs w:val="24"/>
        </w:rPr>
        <w:br/>
      </w:r>
    </w:p>
    <w:p w14:paraId="5E203271"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五、存在的主要问题及改进情况</w:t>
      </w:r>
    </w:p>
    <w:p>
      <w:pPr>
        <w:widowControl/>
        <w:shd w:color="auto" w:fill="FFFFFF" w:val="clear"/>
        <w:ind w:firstLine="480"/>
        <w:rPr>
          <w:rFonts w:ascii="宋体" w:cs="宋体" w:eastAsia="宋体" w:hAnsi="宋体"/>
          <w:color w:val="333333"/>
          <w:kern w:val="0"/>
          <w:sz w:val="24"/>
          <w:szCs w:val="24"/>
        </w:rPr>
      </w:pPr>
      <w:r>
        <w:t>一年来，市审计局积极推进政府信息公开工作，取得了一些进步，但工作中还存在一些问题和不足：一是业务水平还有待提高，二是公开形式不够丰富。下一步我局将继续坚持以习近平新时代中国特色社会主义思想为指导，深入学习《中华人民共和国政府信息公开条例》和中央、省、市政务公开有关文件精神，进一步提高思想认识，加强业务知识学习，准确把握政务公开工作政策精神。强化信息公开工作人员的培训管理，坚决抓好网络意识形态工作及网络安全工作， 严格落实信息发布审核制度，不断提升政府信息公开工作质效。</w:t>
      </w:r>
    </w:p>
    <w:p>
      <w:pPr>
        <w:widowControl/>
        <w:shd w:color="auto" w:fill="FFFFFF" w:val="clear"/>
        <w:ind w:firstLine="480"/>
        <w:rPr>
          <w:rFonts w:ascii="宋体" w:cs="宋体" w:eastAsia="宋体" w:hAnsi="宋体"/>
          <w:color w:val="333333"/>
          <w:kern w:val="0"/>
          <w:sz w:val="24"/>
          <w:szCs w:val="24"/>
        </w:rPr>
      </w:pPr>
      <w:r>
        <w:t/>
      </w:r>
    </w:p>
    <w:p w14:paraId="5EBBDA24" w14:textId="77777777" w:rsidR="00C14315" w:rsidRDefault="00C14315">
      <w:pPr>
        <w:widowControl/>
        <w:shd w:color="auto" w:fill="FFFFFF" w:val="clear"/>
        <w:ind w:firstLine="480"/>
        <w:rPr>
          <w:rFonts w:ascii="宋体" w:cs="宋体" w:eastAsia="宋体" w:hAnsi="宋体"/>
          <w:color w:val="333333"/>
          <w:kern w:val="0"/>
          <w:sz w:val="24"/>
          <w:szCs w:val="24"/>
        </w:rPr>
      </w:pPr>
    </w:p>
    <w:p w14:paraId="67AC7663"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六、其他需要报告的事项</w:t>
      </w:r>
    </w:p>
    <w:p>
      <w:pPr>
        <w:widowControl/>
        <w:shd w:color="auto" w:fill="FFFFFF" w:val="clear"/>
        <w:ind w:firstLine="480"/>
        <w:jc w:val="left"/>
        <w:rPr>
          <w:rFonts w:ascii="宋体" w:cs="宋体" w:eastAsia="宋体" w:hAnsi="宋体"/>
          <w:color w:val="333333"/>
          <w:kern w:val="0"/>
          <w:sz w:val="24"/>
          <w:szCs w:val="24"/>
        </w:rPr>
      </w:pPr>
      <w:r>
        <w:t>三门峡市审计局严格按照《国务院办公厅关于印发〈政府信息公开信息处理费管理办法〉的通知》（国办函〔2020〕109号）规定的按件、按量收费标准，本年度未产生信息公开处理费。</w:t>
      </w:r>
    </w:p>
    <w:p>
      <w:pPr>
        <w:widowControl/>
        <w:shd w:color="auto" w:fill="FFFFFF" w:val="clear"/>
        <w:ind w:firstLine="480"/>
        <w:jc w:val="left"/>
        <w:rPr>
          <w:rFonts w:ascii="宋体" w:cs="宋体" w:eastAsia="宋体" w:hAnsi="宋体"/>
          <w:color w:val="333333"/>
          <w:kern w:val="0"/>
          <w:sz w:val="24"/>
          <w:szCs w:val="24"/>
        </w:rPr>
      </w:pPr>
      <w:r>
        <w:t/>
      </w:r>
    </w:p>
    <w:sectPr w:rsidR="00C14315" w:rsidSect="00F40211">
      <w:pgSz w:h="16838" w:w="11906"/>
      <w:pgMar w:bottom="1440" w:footer="0" w:gutter="0" w:header="0" w:left="1701" w:right="1701" w:top="1440"/>
      <w:cols w:space="720"/>
      <w:formProt w:val="0"/>
      <w:docGrid w:charSpace="6143"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86"/>
    <w:family w:val="swiss"/>
    <w:pitch w:val="variable"/>
    <w:sig w:usb0="E0000AFF" w:usb1="500078FF" w:usb2="00000021" w:usb3="00000000" w:csb0="000001BF" w:csb1="00000000"/>
  </w:font>
  <w:font w:name="微软雅黑">
    <w:panose1 w:val="020B0503020204020204"/>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50"/>
  <w:bordersDoNotSurroundHeader/>
  <w:bordersDoNotSurroundFooter/>
  <w:proofState w:grammar="clean" w:spelling="clean"/>
  <w:defaultTabStop w:val="420"/>
  <w:autoHyphenation/>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315"/>
    <w:rsid w:val="00C14315"/>
    <w:rsid w:val="00F40211"/>
    <w:rsid w:val="00F44765"/>
  </w:rsids>
  <m:mathPr>
    <m:mathFont m:val="Cambria Math"/>
    <m:brkBin m:val="before"/>
    <m:brkBinSub m:val="--"/>
    <m:smallFrac m:val="0"/>
    <m:dispDef/>
    <m:lMargin m:val="0"/>
    <m:rMargin m:val="0"/>
    <m:defJc m:val="centerGroup"/>
    <m:wrapIndent m:val="1440"/>
    <m:intLim m:val="subSup"/>
    <m:naryLim m:val="undOvr"/>
  </m:mathPr>
  <w:themeFontLang w:bidi=""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1B36E6FF"/>
  <w15:docId w15:val="{36231B8A-2915-4805-AEEA-B963C525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kern w:val="2"/>
        <w:sz w:val="21"/>
        <w:szCs w:val="22"/>
        <w:lang w:bidi="ar-SA" w:eastAsia="zh-CN" w:val="en-US"/>
      </w:rPr>
    </w:rPrDefault>
    <w:pPrDefault>
      <w:pPr>
        <w:suppressAutoHyphens/>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a" w:type="paragraph">
    <w:name w:val="Normal"/>
    <w:qFormat/>
    <w:pPr>
      <w:widowControl w:val="0"/>
      <w:jc w:val="both"/>
    </w:p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标题样式"/>
    <w:basedOn w:val="a"/>
    <w:next w:val="a4"/>
    <w:qFormat/>
    <w:pPr>
      <w:keepNext/>
      <w:spacing w:after="120" w:before="240"/>
    </w:pPr>
    <w:rPr>
      <w:rFonts w:ascii="Liberation Sans" w:cs="Arial" w:eastAsia="微软雅黑" w:hAnsi="Liberation Sans"/>
      <w:sz w:val="28"/>
      <w:szCs w:val="28"/>
    </w:rPr>
  </w:style>
  <w:style w:styleId="a4" w:type="paragraph">
    <w:name w:val="Body Text"/>
    <w:basedOn w:val="a"/>
    <w:pPr>
      <w:spacing w:after="140" w:line="276" w:lineRule="auto"/>
    </w:pPr>
  </w:style>
  <w:style w:styleId="a5" w:type="paragraph">
    <w:name w:val="List"/>
    <w:basedOn w:val="a4"/>
    <w:rPr>
      <w:rFonts w:cs="Arial"/>
    </w:rPr>
  </w:style>
  <w:style w:styleId="a6" w:type="paragraph">
    <w:name w:val="caption"/>
    <w:basedOn w:val="a"/>
    <w:qFormat/>
    <w:pPr>
      <w:suppressLineNumbers/>
      <w:spacing w:after="120" w:before="120"/>
    </w:pPr>
    <w:rPr>
      <w:rFonts w:cs="Arial"/>
      <w:i/>
      <w:iCs/>
      <w:sz w:val="24"/>
      <w:szCs w:val="24"/>
    </w:rPr>
  </w:style>
  <w:style w:customStyle="1" w:styleId="a7" w:type="paragraph">
    <w:name w:val="索引"/>
    <w:basedOn w:val="a"/>
    <w:qFormat/>
    <w:pPr>
      <w:suppressLineNumbers/>
    </w:pPr>
    <w:rPr>
      <w:rFonts w:cs="Arial"/>
    </w:rPr>
  </w:style>
  <w:style w:styleId="a8" w:type="paragraph">
    <w:name w:val="Normal (Web)"/>
    <w:basedOn w:val="a"/>
    <w:uiPriority w:val="99"/>
    <w:semiHidden/>
    <w:unhideWhenUsed/>
    <w:qFormat/>
    <w:rsid w:val="008E1CAD"/>
    <w:pPr>
      <w:widowControl/>
      <w:spacing w:afterAutospacing="1" w:beforeAutospacing="1"/>
      <w:jc w:val="left"/>
    </w:pPr>
    <w:rPr>
      <w:rFonts w:ascii="宋体" w:cs="宋体" w:eastAsia="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209</Words>
  <Characters>1193</Characters>
  <Application>Microsoft Office Word</Application>
  <DocSecurity>0</DocSecurity>
  <Lines>9</Lines>
  <Paragraphs>2</Paragraphs>
  <ScaleCrop>false</ScaleCrop>
  <Company>China</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2021-10-21T05:34:00Z</dcterms:created>
  <dc:creator>IdeaBank</dc:creator>
  <dc:language>zh-CN</dc:language>
  <cp:lastModifiedBy>志成 闫</cp:lastModifiedBy>
  <dcterms:modified xsi:type="dcterms:W3CDTF">2024-01-24T01:46:00Z</dcterms:modified>
  <cp:revision>28</cp:revision>
</cp:coreProperties>
</file>